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AFDD" w14:textId="77777777" w:rsidR="00B040EF" w:rsidRPr="00897EF9" w:rsidRDefault="00B040EF" w:rsidP="00B040EF">
      <w:pPr>
        <w:pStyle w:val="ListParagraph"/>
        <w:rPr>
          <w:u w:val="single"/>
        </w:rPr>
      </w:pPr>
      <w:r w:rsidRPr="00897EF9">
        <w:rPr>
          <w:b w:val="0"/>
          <w:noProof/>
          <w:lang w:eastAsia="en-GB"/>
        </w:rPr>
        <w:drawing>
          <wp:inline distT="0" distB="0" distL="0" distR="0" wp14:anchorId="029B2C8B" wp14:editId="16088FAA">
            <wp:extent cx="2504661" cy="523635"/>
            <wp:effectExtent l="0" t="0" r="0" b="0"/>
            <wp:docPr id="2" name="Picture 2" descr="E:\Documents\My WWW\wwwroot\NESWEC-Live\images\Header_Black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My WWW\wwwroot\NESWEC-Live\images\Header_Black_On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0A487" w14:textId="77777777" w:rsidR="00B040EF" w:rsidRPr="00897EF9" w:rsidRDefault="00B040EF" w:rsidP="00B040EF">
      <w:pPr>
        <w:pStyle w:val="ListParagraph"/>
        <w:rPr>
          <w:u w:val="single"/>
        </w:rPr>
      </w:pPr>
      <w:bookmarkStart w:id="0" w:name="_Hlk40377212"/>
      <w:r w:rsidRPr="00897EF9">
        <w:rPr>
          <w:u w:val="single"/>
        </w:rPr>
        <w:t>Assessment and Quality Assurance Policy</w:t>
      </w:r>
    </w:p>
    <w:p w14:paraId="6D249074" w14:textId="77777777" w:rsidR="00B040EF" w:rsidRDefault="00B040EF" w:rsidP="00B040EF">
      <w:pPr>
        <w:pStyle w:val="Default"/>
        <w:rPr>
          <w:b/>
          <w:bCs/>
        </w:rPr>
      </w:pPr>
      <w:r w:rsidRPr="00897EF9">
        <w:rPr>
          <w:b/>
          <w:bCs/>
        </w:rPr>
        <w:t>Policy Adopted January 2012</w:t>
      </w:r>
    </w:p>
    <w:p w14:paraId="2EC6A1EF" w14:textId="72816AE2" w:rsidR="003B3800" w:rsidRDefault="003B3800" w:rsidP="00B040EF">
      <w:pPr>
        <w:pStyle w:val="Default"/>
        <w:rPr>
          <w:b/>
          <w:bCs/>
        </w:rPr>
      </w:pPr>
      <w:r>
        <w:rPr>
          <w:b/>
          <w:bCs/>
        </w:rPr>
        <w:t>Revised January 2016</w:t>
      </w:r>
    </w:p>
    <w:p w14:paraId="69EE4E65" w14:textId="7D66D682" w:rsidR="007E79C6" w:rsidRDefault="007E79C6" w:rsidP="00B040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Revised May 2020</w:t>
      </w:r>
    </w:p>
    <w:p w14:paraId="713345BB" w14:textId="4A6ABC6F" w:rsidR="00434778" w:rsidRPr="007E79C6" w:rsidRDefault="00434778" w:rsidP="00B040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Revised August 2022</w:t>
      </w:r>
    </w:p>
    <w:p w14:paraId="153F27F7" w14:textId="7A8D2735" w:rsidR="0037545E" w:rsidRDefault="003B3800" w:rsidP="00B040EF">
      <w:pPr>
        <w:pStyle w:val="Default"/>
        <w:rPr>
          <w:b/>
          <w:bCs/>
        </w:rPr>
      </w:pPr>
      <w:r>
        <w:rPr>
          <w:b/>
          <w:bCs/>
        </w:rPr>
        <w:t xml:space="preserve">Next revision date </w:t>
      </w:r>
      <w:r w:rsidR="00434778">
        <w:rPr>
          <w:b/>
          <w:bCs/>
        </w:rPr>
        <w:t>august 2024</w:t>
      </w:r>
    </w:p>
    <w:p w14:paraId="32ECF5EA" w14:textId="77777777" w:rsidR="003B3800" w:rsidRPr="00897EF9" w:rsidRDefault="003B3800" w:rsidP="00B040EF">
      <w:pPr>
        <w:pStyle w:val="Default"/>
        <w:rPr>
          <w:b/>
          <w:bCs/>
        </w:rPr>
      </w:pPr>
    </w:p>
    <w:p w14:paraId="47A2DAEA" w14:textId="2857C527" w:rsidR="00B040EF" w:rsidRPr="00897EF9" w:rsidRDefault="00B040EF" w:rsidP="00B040EF">
      <w:pPr>
        <w:pStyle w:val="Default"/>
        <w:rPr>
          <w:b/>
          <w:bCs/>
        </w:rPr>
      </w:pPr>
      <w:r w:rsidRPr="00897EF9">
        <w:rPr>
          <w:b/>
          <w:bCs/>
        </w:rPr>
        <w:t xml:space="preserve">Introduction </w:t>
      </w:r>
      <w:r w:rsidR="00B0592E">
        <w:rPr>
          <w:b/>
          <w:bCs/>
        </w:rPr>
        <w:t xml:space="preserve">    </w:t>
      </w:r>
    </w:p>
    <w:p w14:paraId="4DB512BB" w14:textId="77777777" w:rsidR="00B040EF" w:rsidRPr="00897EF9" w:rsidRDefault="00B040EF" w:rsidP="00B040EF">
      <w:pPr>
        <w:pStyle w:val="ListParagraph"/>
      </w:pPr>
    </w:p>
    <w:p w14:paraId="369C73F7" w14:textId="77777777" w:rsidR="00B040EF" w:rsidRPr="00897EF9" w:rsidRDefault="00553158" w:rsidP="00553158">
      <w:pPr>
        <w:pStyle w:val="ListParagraph"/>
      </w:pPr>
      <w:r>
        <w:t>NESWEC’s policy on assessment is to ensure that there are appropriate methods of assessment to meet students’ requirements</w:t>
      </w:r>
    </w:p>
    <w:p w14:paraId="2B199104" w14:textId="77777777" w:rsidR="00B040EF" w:rsidRPr="00897EF9" w:rsidRDefault="00B040EF" w:rsidP="00B040EF">
      <w:pPr>
        <w:pStyle w:val="ListParagraph"/>
      </w:pPr>
    </w:p>
    <w:p w14:paraId="0EDD0878" w14:textId="77777777" w:rsidR="00B040EF" w:rsidRPr="00897EF9" w:rsidRDefault="00B040EF" w:rsidP="00B040EF">
      <w:pPr>
        <w:pStyle w:val="ListParagraph"/>
        <w:numPr>
          <w:ilvl w:val="0"/>
          <w:numId w:val="1"/>
        </w:numPr>
        <w:rPr>
          <w:b w:val="0"/>
        </w:rPr>
      </w:pPr>
      <w:r w:rsidRPr="00897EF9">
        <w:rPr>
          <w:b w:val="0"/>
        </w:rPr>
        <w:t>Ensure access and equality of opportunity whilst preserving the integrity of the qualification</w:t>
      </w:r>
    </w:p>
    <w:p w14:paraId="509A980B" w14:textId="77777777" w:rsidR="00B040EF" w:rsidRPr="00897EF9" w:rsidRDefault="00B040EF" w:rsidP="00B040EF">
      <w:pPr>
        <w:pStyle w:val="ListParagraph"/>
        <w:numPr>
          <w:ilvl w:val="0"/>
          <w:numId w:val="1"/>
        </w:numPr>
        <w:rPr>
          <w:b w:val="0"/>
        </w:rPr>
      </w:pPr>
      <w:r w:rsidRPr="00897EF9">
        <w:rPr>
          <w:b w:val="0"/>
        </w:rPr>
        <w:t>Ensure there are no obstacles to demonstrating achievement</w:t>
      </w:r>
    </w:p>
    <w:p w14:paraId="55C7BD87" w14:textId="77777777" w:rsidR="00B040EF" w:rsidRPr="00897EF9" w:rsidRDefault="00B040EF" w:rsidP="00B040EF">
      <w:pPr>
        <w:pStyle w:val="ListParagraph"/>
        <w:numPr>
          <w:ilvl w:val="0"/>
          <w:numId w:val="1"/>
        </w:numPr>
        <w:rPr>
          <w:b w:val="0"/>
        </w:rPr>
      </w:pPr>
      <w:r w:rsidRPr="00897EF9">
        <w:rPr>
          <w:b w:val="0"/>
        </w:rPr>
        <w:t>Provide on-going support to students, including those with particular requirements.</w:t>
      </w:r>
    </w:p>
    <w:p w14:paraId="6ABED495" w14:textId="77777777" w:rsidR="00B040EF" w:rsidRPr="00897EF9" w:rsidRDefault="00B040EF" w:rsidP="00B040EF">
      <w:pPr>
        <w:pStyle w:val="ListParagraph"/>
      </w:pPr>
    </w:p>
    <w:p w14:paraId="35EE5197" w14:textId="77777777" w:rsidR="00B040EF" w:rsidRPr="00897EF9" w:rsidRDefault="00B040EF" w:rsidP="00B040EF">
      <w:pPr>
        <w:pStyle w:val="ListParagraph"/>
      </w:pPr>
      <w:r w:rsidRPr="00897EF9">
        <w:t>In order create and maintain good practice and fair assessment Core Tutors will:</w:t>
      </w:r>
    </w:p>
    <w:p w14:paraId="12BCD231" w14:textId="77777777" w:rsidR="00B040EF" w:rsidRPr="00897EF9" w:rsidRDefault="00B040EF" w:rsidP="00B040EF">
      <w:pPr>
        <w:pStyle w:val="ListParagraph"/>
      </w:pPr>
    </w:p>
    <w:p w14:paraId="70D86E73" w14:textId="77777777" w:rsidR="00B040EF" w:rsidRPr="00897EF9" w:rsidRDefault="00B040EF" w:rsidP="00B040EF">
      <w:pPr>
        <w:pStyle w:val="ListParagraph"/>
        <w:numPr>
          <w:ilvl w:val="0"/>
          <w:numId w:val="2"/>
        </w:numPr>
        <w:rPr>
          <w:b w:val="0"/>
        </w:rPr>
      </w:pPr>
      <w:r w:rsidRPr="00897EF9">
        <w:rPr>
          <w:b w:val="0"/>
        </w:rPr>
        <w:t>Receive an induction into the principles of quality assurance and assessment and internal quality assurance procedures</w:t>
      </w:r>
    </w:p>
    <w:p w14:paraId="3A122B03" w14:textId="77777777" w:rsidR="00B040EF" w:rsidRPr="00897EF9" w:rsidRDefault="00B040EF" w:rsidP="00B040EF">
      <w:pPr>
        <w:pStyle w:val="ListParagraph"/>
        <w:numPr>
          <w:ilvl w:val="0"/>
          <w:numId w:val="2"/>
        </w:numPr>
        <w:rPr>
          <w:b w:val="0"/>
        </w:rPr>
      </w:pPr>
      <w:r w:rsidRPr="00897EF9">
        <w:rPr>
          <w:b w:val="0"/>
        </w:rPr>
        <w:t>Create assignments with regard to the equality and diversity of students, making sure that evidence can be produced in varied ways</w:t>
      </w:r>
    </w:p>
    <w:p w14:paraId="6608E808" w14:textId="77777777" w:rsidR="00B040EF" w:rsidRPr="00897EF9" w:rsidRDefault="00B040EF" w:rsidP="00B040EF">
      <w:pPr>
        <w:pStyle w:val="ListParagraph"/>
        <w:numPr>
          <w:ilvl w:val="0"/>
          <w:numId w:val="2"/>
        </w:numPr>
        <w:rPr>
          <w:b w:val="0"/>
        </w:rPr>
      </w:pPr>
      <w:r w:rsidRPr="00897EF9">
        <w:rPr>
          <w:b w:val="0"/>
        </w:rPr>
        <w:t xml:space="preserve">Keep records of all assessment activities </w:t>
      </w:r>
    </w:p>
    <w:p w14:paraId="7EBA61DB" w14:textId="77777777" w:rsidR="00B040EF" w:rsidRPr="00897EF9" w:rsidRDefault="00B040EF" w:rsidP="00B040EF">
      <w:pPr>
        <w:pStyle w:val="ListParagraph"/>
        <w:numPr>
          <w:ilvl w:val="0"/>
          <w:numId w:val="2"/>
        </w:numPr>
        <w:rPr>
          <w:b w:val="0"/>
        </w:rPr>
      </w:pPr>
      <w:r w:rsidRPr="00897EF9">
        <w:rPr>
          <w:b w:val="0"/>
        </w:rPr>
        <w:t>Advise students of learning outcomes and assessment criteria and make sure that assignment plans are consistent with these</w:t>
      </w:r>
    </w:p>
    <w:p w14:paraId="4F48FE6D" w14:textId="77777777" w:rsidR="00B040EF" w:rsidRPr="00897EF9" w:rsidRDefault="00B040EF" w:rsidP="00B040EF">
      <w:pPr>
        <w:pStyle w:val="ListParagraph"/>
        <w:numPr>
          <w:ilvl w:val="0"/>
          <w:numId w:val="2"/>
        </w:numPr>
        <w:rPr>
          <w:b w:val="0"/>
        </w:rPr>
      </w:pPr>
      <w:r w:rsidRPr="00897EF9">
        <w:rPr>
          <w:b w:val="0"/>
        </w:rPr>
        <w:t>Ensure that there is periodic review of the assessment practice and procedures by the Core Tutors as an integral part of the programme review.</w:t>
      </w:r>
    </w:p>
    <w:p w14:paraId="3E557CC8" w14:textId="77777777" w:rsidR="00B040EF" w:rsidRPr="00897EF9" w:rsidRDefault="00B040EF" w:rsidP="00B040EF">
      <w:pPr>
        <w:pStyle w:val="ListParagraph"/>
      </w:pPr>
    </w:p>
    <w:p w14:paraId="70A0CEAF" w14:textId="77777777" w:rsidR="00B040EF" w:rsidRPr="00897EF9" w:rsidRDefault="00B040EF" w:rsidP="00B040EF">
      <w:pPr>
        <w:pStyle w:val="ListParagraph"/>
      </w:pPr>
      <w:r w:rsidRPr="00897EF9">
        <w:t>Internal Quality Assurance Policy</w:t>
      </w:r>
    </w:p>
    <w:p w14:paraId="6425FB18" w14:textId="77777777" w:rsidR="00B040EF" w:rsidRPr="00897EF9" w:rsidRDefault="00B040EF" w:rsidP="00B040EF">
      <w:pPr>
        <w:pStyle w:val="ListParagraph"/>
      </w:pPr>
    </w:p>
    <w:p w14:paraId="201EBABC" w14:textId="77777777" w:rsidR="00B040EF" w:rsidRPr="00897EF9" w:rsidRDefault="00B040EF" w:rsidP="00B040EF">
      <w:pPr>
        <w:pStyle w:val="ListParagraph"/>
        <w:rPr>
          <w:b w:val="0"/>
        </w:rPr>
      </w:pPr>
      <w:r w:rsidRPr="00897EF9">
        <w:rPr>
          <w:b w:val="0"/>
        </w:rPr>
        <w:t>NESWEC has two Internal Quality Assurers (IQAs) who are responsible for Internal Quality Assurance. Internal Quality Assurance is a mandatory process that all Crossfield Institute approved centres must have in place in order to ensure that sufficient evidence of assessment exists, and that standards are being upheld.</w:t>
      </w:r>
    </w:p>
    <w:p w14:paraId="55EE912B" w14:textId="77777777" w:rsidR="00B040EF" w:rsidRPr="00897EF9" w:rsidRDefault="00B040EF" w:rsidP="00B040EF">
      <w:pPr>
        <w:pStyle w:val="ListParagraph"/>
      </w:pPr>
    </w:p>
    <w:p w14:paraId="3C43F46A" w14:textId="77777777" w:rsidR="00B040EF" w:rsidRPr="00897EF9" w:rsidRDefault="00B040EF" w:rsidP="00B040EF">
      <w:pPr>
        <w:pStyle w:val="ListParagraph"/>
      </w:pPr>
      <w:r w:rsidRPr="00897EF9">
        <w:t>The Internal Quality Assurance system ensures:</w:t>
      </w:r>
    </w:p>
    <w:p w14:paraId="16045F87" w14:textId="77777777" w:rsidR="00B040EF" w:rsidRPr="00897EF9" w:rsidRDefault="00B040EF" w:rsidP="00B040EF">
      <w:pPr>
        <w:pStyle w:val="ListParagraph"/>
      </w:pPr>
    </w:p>
    <w:p w14:paraId="40D1696D" w14:textId="77777777" w:rsidR="00B040EF" w:rsidRPr="00897EF9" w:rsidRDefault="00B040EF" w:rsidP="00B040EF">
      <w:pPr>
        <w:pStyle w:val="ListParagraph"/>
        <w:numPr>
          <w:ilvl w:val="0"/>
          <w:numId w:val="3"/>
        </w:numPr>
        <w:rPr>
          <w:b w:val="0"/>
        </w:rPr>
      </w:pPr>
      <w:r w:rsidRPr="00897EF9">
        <w:rPr>
          <w:b w:val="0"/>
        </w:rPr>
        <w:t xml:space="preserve">A forum for discussion of borderline cases </w:t>
      </w:r>
    </w:p>
    <w:p w14:paraId="3CC65AF5" w14:textId="77777777" w:rsidR="00B040EF" w:rsidRPr="00897EF9" w:rsidRDefault="00B040EF" w:rsidP="00B040EF">
      <w:pPr>
        <w:pStyle w:val="ListParagraph"/>
        <w:numPr>
          <w:ilvl w:val="0"/>
          <w:numId w:val="3"/>
        </w:numPr>
        <w:rPr>
          <w:b w:val="0"/>
        </w:rPr>
      </w:pPr>
      <w:r w:rsidRPr="00897EF9">
        <w:rPr>
          <w:b w:val="0"/>
        </w:rPr>
        <w:t>Reduction in level of direct external quality assurance (EQA)</w:t>
      </w:r>
    </w:p>
    <w:p w14:paraId="209C331C" w14:textId="77777777" w:rsidR="00B040EF" w:rsidRPr="00897EF9" w:rsidRDefault="00B040EF" w:rsidP="00B040EF">
      <w:pPr>
        <w:pStyle w:val="ListParagraph"/>
        <w:numPr>
          <w:ilvl w:val="0"/>
          <w:numId w:val="3"/>
        </w:numPr>
        <w:rPr>
          <w:b w:val="0"/>
        </w:rPr>
      </w:pPr>
      <w:r w:rsidRPr="00897EF9">
        <w:rPr>
          <w:b w:val="0"/>
        </w:rPr>
        <w:t>Valid, reliable and consistent award of the qualification</w:t>
      </w:r>
    </w:p>
    <w:p w14:paraId="2361854D" w14:textId="77777777" w:rsidR="00B040EF" w:rsidRPr="00897EF9" w:rsidRDefault="00B040EF" w:rsidP="00B040EF">
      <w:pPr>
        <w:pStyle w:val="ListParagraph"/>
        <w:numPr>
          <w:ilvl w:val="0"/>
          <w:numId w:val="3"/>
        </w:numPr>
        <w:rPr>
          <w:b w:val="0"/>
        </w:rPr>
      </w:pPr>
      <w:r w:rsidRPr="00897EF9">
        <w:rPr>
          <w:b w:val="0"/>
        </w:rPr>
        <w:t xml:space="preserve">Recorded assessment decisions which are appropriate, consistent, fair, transparent, standardised, sufficient and equitable </w:t>
      </w:r>
    </w:p>
    <w:p w14:paraId="6F43A36D" w14:textId="77777777" w:rsidR="00B040EF" w:rsidRPr="00897EF9" w:rsidRDefault="00B040EF" w:rsidP="00B040EF">
      <w:pPr>
        <w:pStyle w:val="ListParagraph"/>
        <w:numPr>
          <w:ilvl w:val="0"/>
          <w:numId w:val="3"/>
        </w:numPr>
        <w:rPr>
          <w:b w:val="0"/>
        </w:rPr>
      </w:pPr>
      <w:r w:rsidRPr="00897EF9">
        <w:rPr>
          <w:b w:val="0"/>
        </w:rPr>
        <w:t xml:space="preserve">Clarity for students about assessment requirements </w:t>
      </w:r>
    </w:p>
    <w:p w14:paraId="10E17F3E" w14:textId="77777777" w:rsidR="00B040EF" w:rsidRPr="00897EF9" w:rsidRDefault="00B040EF" w:rsidP="00B040EF">
      <w:pPr>
        <w:pStyle w:val="ListParagraph"/>
        <w:numPr>
          <w:ilvl w:val="0"/>
          <w:numId w:val="3"/>
        </w:numPr>
        <w:rPr>
          <w:b w:val="0"/>
        </w:rPr>
      </w:pPr>
      <w:r w:rsidRPr="00897EF9">
        <w:rPr>
          <w:b w:val="0"/>
        </w:rPr>
        <w:t xml:space="preserve">Effective preparation and presentation for external assessment </w:t>
      </w:r>
    </w:p>
    <w:p w14:paraId="35DB1DB4" w14:textId="77777777" w:rsidR="00B040EF" w:rsidRPr="00897EF9" w:rsidRDefault="00B040EF" w:rsidP="00B040EF">
      <w:pPr>
        <w:pStyle w:val="ListParagraph"/>
        <w:numPr>
          <w:ilvl w:val="0"/>
          <w:numId w:val="3"/>
        </w:numPr>
        <w:rPr>
          <w:b w:val="0"/>
        </w:rPr>
      </w:pPr>
      <w:r w:rsidRPr="00897EF9">
        <w:rPr>
          <w:b w:val="0"/>
        </w:rPr>
        <w:t>Tutor mentoring and networking and sharing of good practice</w:t>
      </w:r>
    </w:p>
    <w:p w14:paraId="320F545D" w14:textId="77777777" w:rsidR="00B040EF" w:rsidRPr="00897EF9" w:rsidRDefault="00B040EF" w:rsidP="00B040EF">
      <w:pPr>
        <w:pStyle w:val="ListParagraph"/>
      </w:pPr>
    </w:p>
    <w:p w14:paraId="112442B0" w14:textId="77777777" w:rsidR="00B040EF" w:rsidRPr="00897EF9" w:rsidRDefault="00B040EF" w:rsidP="00B040EF">
      <w:pPr>
        <w:pStyle w:val="ListParagraph"/>
        <w:rPr>
          <w:b w:val="0"/>
        </w:rPr>
      </w:pPr>
      <w:r w:rsidRPr="00897EF9">
        <w:rPr>
          <w:b w:val="0"/>
        </w:rPr>
        <w:lastRenderedPageBreak/>
        <w:t xml:space="preserve">Crossfields Institute will design with each Centre a fit for purpose, holistic quality assurance and assessment procedure that is reasonable, effective and reduces the bureaucracy for assessors and students to a minimum whilst upholding the highest standards. The approach to Quality Assurance will be risk-based, where all Core Tutors will have their assessment decisions regularly sampled according to the sampling model designed by the Internal Quality Assurer (IQA). </w:t>
      </w:r>
    </w:p>
    <w:p w14:paraId="371F17AE" w14:textId="77777777" w:rsidR="00B040EF" w:rsidRPr="00897EF9" w:rsidRDefault="00B040EF" w:rsidP="00B040EF">
      <w:pPr>
        <w:pStyle w:val="ListParagraph"/>
        <w:rPr>
          <w:b w:val="0"/>
        </w:rPr>
      </w:pPr>
    </w:p>
    <w:p w14:paraId="3EDC3B76" w14:textId="77777777" w:rsidR="00B040EF" w:rsidRPr="00897EF9" w:rsidRDefault="00B040EF" w:rsidP="00B040EF">
      <w:pPr>
        <w:pStyle w:val="ListParagraph"/>
        <w:rPr>
          <w:b w:val="0"/>
        </w:rPr>
      </w:pPr>
      <w:r w:rsidRPr="00897EF9">
        <w:rPr>
          <w:b w:val="0"/>
        </w:rPr>
        <w:t xml:space="preserve">All internal quality assurance records will be made available to the External Quality Assurer (EQA). </w:t>
      </w:r>
    </w:p>
    <w:p w14:paraId="21E20220" w14:textId="77777777" w:rsidR="00DF3F4A" w:rsidRPr="00897EF9" w:rsidRDefault="00B040EF" w:rsidP="00B040EF">
      <w:pPr>
        <w:rPr>
          <w:sz w:val="24"/>
          <w:szCs w:val="24"/>
        </w:rPr>
      </w:pPr>
      <w:r w:rsidRPr="00897EF9">
        <w:rPr>
          <w:sz w:val="24"/>
          <w:szCs w:val="24"/>
        </w:rPr>
        <w:t>The internal quality assurance (IQA) process will be reviewed as part of the Programme Review at the end of the year and any changes/recommendations will be recorded.</w:t>
      </w:r>
    </w:p>
    <w:p w14:paraId="76783A72" w14:textId="77777777" w:rsidR="00897EF9" w:rsidRPr="00897EF9" w:rsidRDefault="00897EF9" w:rsidP="00897EF9">
      <w:pPr>
        <w:rPr>
          <w:rFonts w:eastAsia="Times New Roman"/>
          <w:color w:val="000000"/>
          <w:sz w:val="24"/>
          <w:szCs w:val="24"/>
        </w:rPr>
      </w:pPr>
      <w:r w:rsidRPr="00897EF9">
        <w:rPr>
          <w:rFonts w:eastAsia="Times New Roman"/>
          <w:color w:val="000000"/>
          <w:sz w:val="24"/>
          <w:szCs w:val="24"/>
          <w:u w:val="single"/>
        </w:rPr>
        <w:t xml:space="preserve">The principle of NESWEC </w:t>
      </w:r>
      <w:r w:rsidRPr="00897EF9">
        <w:rPr>
          <w:sz w:val="24"/>
          <w:szCs w:val="24"/>
          <w:u w:val="single"/>
        </w:rPr>
        <w:t>Internal Quality Assurance</w:t>
      </w:r>
      <w:r w:rsidRPr="00897EF9">
        <w:rPr>
          <w:rFonts w:eastAsia="Times New Roman"/>
          <w:color w:val="000000"/>
          <w:sz w:val="24"/>
          <w:szCs w:val="24"/>
        </w:rPr>
        <w:t xml:space="preserve"> is that every student, every assignment and every assessor will be covered by the </w:t>
      </w:r>
      <w:r>
        <w:rPr>
          <w:rFonts w:eastAsia="Times New Roman"/>
          <w:color w:val="000000"/>
          <w:sz w:val="24"/>
          <w:szCs w:val="24"/>
        </w:rPr>
        <w:t xml:space="preserve">IQA </w:t>
      </w:r>
      <w:r w:rsidRPr="00897EF9">
        <w:rPr>
          <w:rFonts w:eastAsia="Times New Roman"/>
          <w:color w:val="000000"/>
          <w:sz w:val="24"/>
          <w:szCs w:val="24"/>
        </w:rPr>
        <w:t xml:space="preserve">sampling.  </w:t>
      </w:r>
    </w:p>
    <w:p w14:paraId="7D6729C9" w14:textId="77777777" w:rsidR="00897EF9" w:rsidRPr="00897EF9" w:rsidRDefault="00897EF9" w:rsidP="00897EF9">
      <w:pPr>
        <w:rPr>
          <w:rFonts w:eastAsia="Times New Roman"/>
          <w:color w:val="000000"/>
          <w:sz w:val="24"/>
          <w:szCs w:val="24"/>
        </w:rPr>
      </w:pPr>
      <w:r w:rsidRPr="00897EF9">
        <w:rPr>
          <w:rFonts w:eastAsia="Times New Roman"/>
          <w:color w:val="000000"/>
          <w:sz w:val="24"/>
          <w:szCs w:val="24"/>
        </w:rPr>
        <w:t>In practice this is what happens:</w:t>
      </w:r>
    </w:p>
    <w:p w14:paraId="79BB0651" w14:textId="5F9DD168" w:rsidR="00897EF9" w:rsidRPr="00E3723A" w:rsidRDefault="00897EF9" w:rsidP="00897EF9">
      <w:pPr>
        <w:pStyle w:val="ListParagraph"/>
        <w:numPr>
          <w:ilvl w:val="0"/>
          <w:numId w:val="4"/>
        </w:numPr>
        <w:rPr>
          <w:rFonts w:eastAsia="Times New Roman"/>
          <w:b w:val="0"/>
          <w:color w:val="000000"/>
        </w:rPr>
      </w:pPr>
      <w:r w:rsidRPr="00E3723A">
        <w:rPr>
          <w:rFonts w:eastAsia="Times New Roman"/>
          <w:b w:val="0"/>
          <w:color w:val="000000"/>
        </w:rPr>
        <w:t xml:space="preserve">For experienced assessors who are assessing assignments that have been assessed before and not substantially revised, </w:t>
      </w:r>
      <w:r w:rsidR="00695313">
        <w:rPr>
          <w:rFonts w:eastAsia="Times New Roman"/>
          <w:b w:val="0"/>
          <w:color w:val="000000"/>
        </w:rPr>
        <w:t xml:space="preserve">two or </w:t>
      </w:r>
      <w:r w:rsidRPr="00E3723A">
        <w:rPr>
          <w:rFonts w:eastAsia="Times New Roman"/>
          <w:b w:val="0"/>
          <w:color w:val="000000"/>
        </w:rPr>
        <w:t xml:space="preserve">three samples from the batch will be chosen for a formal final IQA.  </w:t>
      </w:r>
    </w:p>
    <w:p w14:paraId="16EE4CD6" w14:textId="2C92B011" w:rsidR="00897EF9" w:rsidRPr="00E3723A" w:rsidRDefault="00897EF9" w:rsidP="00897EF9">
      <w:pPr>
        <w:pStyle w:val="ListParagraph"/>
        <w:numPr>
          <w:ilvl w:val="0"/>
          <w:numId w:val="4"/>
        </w:numPr>
        <w:rPr>
          <w:rFonts w:eastAsia="Times New Roman"/>
          <w:b w:val="0"/>
          <w:color w:val="000000"/>
        </w:rPr>
      </w:pPr>
      <w:r w:rsidRPr="00E3723A">
        <w:rPr>
          <w:rFonts w:eastAsia="Times New Roman"/>
          <w:b w:val="0"/>
          <w:color w:val="000000"/>
        </w:rPr>
        <w:t>For new assessors and for assignments which are new or have been substantially revised, there will be an interim IQA for all the submission</w:t>
      </w:r>
      <w:r w:rsidR="00695313">
        <w:rPr>
          <w:rFonts w:eastAsia="Times New Roman"/>
          <w:b w:val="0"/>
          <w:color w:val="000000"/>
        </w:rPr>
        <w:t>s</w:t>
      </w:r>
      <w:r w:rsidRPr="00E3723A">
        <w:rPr>
          <w:rFonts w:eastAsia="Times New Roman"/>
          <w:b w:val="0"/>
          <w:color w:val="000000"/>
        </w:rPr>
        <w:t xml:space="preserve"> of the batch, before the feedback is sent to the students, and a final formal IQA of </w:t>
      </w:r>
      <w:r w:rsidR="00695313">
        <w:rPr>
          <w:rFonts w:eastAsia="Times New Roman"/>
          <w:b w:val="0"/>
          <w:color w:val="000000"/>
        </w:rPr>
        <w:t xml:space="preserve">two or </w:t>
      </w:r>
      <w:r w:rsidRPr="00E3723A">
        <w:rPr>
          <w:rFonts w:eastAsia="Times New Roman"/>
          <w:b w:val="0"/>
          <w:color w:val="000000"/>
        </w:rPr>
        <w:t>three.  Th</w:t>
      </w:r>
      <w:r w:rsidR="00695313">
        <w:rPr>
          <w:rFonts w:eastAsia="Times New Roman"/>
          <w:b w:val="0"/>
          <w:color w:val="000000"/>
        </w:rPr>
        <w:t xml:space="preserve">ose </w:t>
      </w:r>
      <w:r w:rsidRPr="00E3723A">
        <w:rPr>
          <w:rFonts w:eastAsia="Times New Roman"/>
          <w:b w:val="0"/>
          <w:color w:val="000000"/>
        </w:rPr>
        <w:t xml:space="preserve">chosen for the final IQA will generally be </w:t>
      </w:r>
      <w:r w:rsidR="00695313">
        <w:rPr>
          <w:rFonts w:eastAsia="Times New Roman"/>
          <w:b w:val="0"/>
          <w:color w:val="000000"/>
        </w:rPr>
        <w:t>representative of the whole batch.</w:t>
      </w:r>
    </w:p>
    <w:p w14:paraId="4F066783" w14:textId="77777777" w:rsidR="00897EF9" w:rsidRPr="00E3723A" w:rsidRDefault="00897EF9" w:rsidP="00897EF9">
      <w:pPr>
        <w:pStyle w:val="ListParagraph"/>
        <w:numPr>
          <w:ilvl w:val="0"/>
          <w:numId w:val="4"/>
        </w:numPr>
        <w:rPr>
          <w:rFonts w:eastAsia="Times New Roman"/>
          <w:b w:val="0"/>
          <w:color w:val="000000"/>
        </w:rPr>
      </w:pPr>
      <w:r w:rsidRPr="00E3723A">
        <w:rPr>
          <w:rFonts w:eastAsia="Times New Roman"/>
          <w:b w:val="0"/>
          <w:color w:val="000000"/>
        </w:rPr>
        <w:t>A</w:t>
      </w:r>
      <w:r w:rsidRPr="00E3723A">
        <w:rPr>
          <w:rFonts w:eastAsia="Times New Roman"/>
          <w:b w:val="0"/>
          <w:bCs/>
          <w:color w:val="000000"/>
        </w:rPr>
        <w:t>ssessors are encouraged to approach the IQA with any questions that arise during assessment.  They are asked to do this when a student fails to achieve all the assessment criteria attached to an assignment, before the feedback is sent to the students, and with the subsequent resubmissions which the student may make.</w:t>
      </w:r>
    </w:p>
    <w:p w14:paraId="43BDE827" w14:textId="77777777" w:rsidR="00897EF9" w:rsidRPr="00E3723A" w:rsidRDefault="00897EF9" w:rsidP="00897EF9">
      <w:pPr>
        <w:pStyle w:val="ListParagraph"/>
        <w:numPr>
          <w:ilvl w:val="0"/>
          <w:numId w:val="4"/>
        </w:numPr>
        <w:rPr>
          <w:rFonts w:eastAsia="Times New Roman"/>
          <w:b w:val="0"/>
          <w:color w:val="000000"/>
        </w:rPr>
      </w:pPr>
      <w:r w:rsidRPr="00E3723A">
        <w:rPr>
          <w:rFonts w:eastAsia="Times New Roman"/>
          <w:b w:val="0"/>
          <w:color w:val="000000"/>
        </w:rPr>
        <w:t xml:space="preserve">This interim IQA support takes place through exchange of e-mails and phone calls. </w:t>
      </w:r>
      <w:r w:rsidR="003B3800" w:rsidRPr="00E3723A">
        <w:rPr>
          <w:rFonts w:eastAsia="Times New Roman"/>
          <w:b w:val="0"/>
          <w:color w:val="000000"/>
        </w:rPr>
        <w:t xml:space="preserve"> The final formal IQA report is recorded on a pro forma document.  </w:t>
      </w:r>
      <w:r w:rsidRPr="00E3723A">
        <w:rPr>
          <w:rFonts w:eastAsia="Times New Roman"/>
          <w:b w:val="0"/>
          <w:color w:val="000000"/>
        </w:rPr>
        <w:t xml:space="preserve"> </w:t>
      </w:r>
    </w:p>
    <w:p w14:paraId="677FF8A8" w14:textId="77777777" w:rsidR="00897EF9" w:rsidRPr="00E3723A" w:rsidRDefault="00897EF9" w:rsidP="00897EF9">
      <w:pPr>
        <w:pStyle w:val="ListParagraph"/>
        <w:numPr>
          <w:ilvl w:val="0"/>
          <w:numId w:val="4"/>
        </w:numPr>
        <w:rPr>
          <w:rFonts w:eastAsia="Times New Roman"/>
          <w:b w:val="0"/>
          <w:color w:val="000000"/>
        </w:rPr>
      </w:pPr>
      <w:r w:rsidRPr="00E3723A">
        <w:rPr>
          <w:rFonts w:eastAsia="Times New Roman"/>
          <w:b w:val="0"/>
          <w:bCs/>
          <w:color w:val="000000"/>
        </w:rPr>
        <w:t>Most written assignments are available electronically for ease of access to assessors and IQA.</w:t>
      </w:r>
    </w:p>
    <w:bookmarkEnd w:id="0"/>
    <w:p w14:paraId="337332BA" w14:textId="77777777" w:rsidR="00897EF9" w:rsidRPr="00897EF9" w:rsidRDefault="00897EF9" w:rsidP="00B040EF">
      <w:pPr>
        <w:rPr>
          <w:sz w:val="24"/>
          <w:szCs w:val="24"/>
        </w:rPr>
      </w:pPr>
    </w:p>
    <w:p w14:paraId="656DE069" w14:textId="77777777" w:rsidR="00897EF9" w:rsidRPr="00897EF9" w:rsidRDefault="00897EF9" w:rsidP="00B040EF">
      <w:pPr>
        <w:rPr>
          <w:sz w:val="24"/>
          <w:szCs w:val="24"/>
        </w:rPr>
      </w:pPr>
    </w:p>
    <w:p w14:paraId="434709FD" w14:textId="77777777" w:rsidR="00897EF9" w:rsidRPr="00897EF9" w:rsidRDefault="00897EF9" w:rsidP="00B040EF">
      <w:pPr>
        <w:rPr>
          <w:sz w:val="24"/>
          <w:szCs w:val="24"/>
        </w:rPr>
      </w:pPr>
    </w:p>
    <w:p w14:paraId="175713B1" w14:textId="77777777" w:rsidR="00897EF9" w:rsidRPr="00897EF9" w:rsidRDefault="00897EF9" w:rsidP="00B040EF">
      <w:pPr>
        <w:rPr>
          <w:sz w:val="24"/>
          <w:szCs w:val="24"/>
        </w:rPr>
      </w:pPr>
    </w:p>
    <w:sectPr w:rsidR="00897EF9" w:rsidRPr="00897EF9" w:rsidSect="00B04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215"/>
    <w:multiLevelType w:val="hybridMultilevel"/>
    <w:tmpl w:val="0046C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B38AE"/>
    <w:multiLevelType w:val="hybridMultilevel"/>
    <w:tmpl w:val="4C1A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B69"/>
    <w:multiLevelType w:val="hybridMultilevel"/>
    <w:tmpl w:val="DB9C85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76A42"/>
    <w:multiLevelType w:val="hybridMultilevel"/>
    <w:tmpl w:val="464C34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222523751">
    <w:abstractNumId w:val="3"/>
  </w:num>
  <w:num w:numId="2" w16cid:durableId="903905121">
    <w:abstractNumId w:val="0"/>
  </w:num>
  <w:num w:numId="3" w16cid:durableId="2122407547">
    <w:abstractNumId w:val="2"/>
  </w:num>
  <w:num w:numId="4" w16cid:durableId="1822652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0EF"/>
    <w:rsid w:val="0037545E"/>
    <w:rsid w:val="003B3800"/>
    <w:rsid w:val="00434778"/>
    <w:rsid w:val="005446BC"/>
    <w:rsid w:val="00553158"/>
    <w:rsid w:val="00695313"/>
    <w:rsid w:val="007E79C6"/>
    <w:rsid w:val="00897EF9"/>
    <w:rsid w:val="00A471F4"/>
    <w:rsid w:val="00B040EF"/>
    <w:rsid w:val="00B0592E"/>
    <w:rsid w:val="00DF3F4A"/>
    <w:rsid w:val="00E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9E52"/>
  <w15:docId w15:val="{99C0A21E-5346-41E3-8B78-59668561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0EF"/>
    <w:rPr>
      <w:bC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B040EF"/>
    <w:pPr>
      <w:tabs>
        <w:tab w:val="left" w:pos="2506"/>
        <w:tab w:val="left" w:pos="4395"/>
      </w:tabs>
      <w:contextualSpacing/>
    </w:pPr>
    <w:rPr>
      <w:b/>
      <w:bCs w:val="0"/>
      <w:sz w:val="24"/>
      <w:szCs w:val="24"/>
    </w:rPr>
  </w:style>
  <w:style w:type="paragraph" w:customStyle="1" w:styleId="Default">
    <w:name w:val="Default"/>
    <w:rsid w:val="00B040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EF"/>
    <w:rPr>
      <w:rFonts w:ascii="Tahoma" w:hAnsi="Tahoma" w:cs="Tahoma"/>
      <w:bCs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Taplin</dc:creator>
  <cp:lastModifiedBy>Jill Taplin</cp:lastModifiedBy>
  <cp:revision>13</cp:revision>
  <dcterms:created xsi:type="dcterms:W3CDTF">2012-12-21T16:09:00Z</dcterms:created>
  <dcterms:modified xsi:type="dcterms:W3CDTF">2022-09-15T19:16:00Z</dcterms:modified>
</cp:coreProperties>
</file>