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F30A" w14:textId="77777777" w:rsidR="00D470FA" w:rsidRDefault="00D470FA" w:rsidP="00D470FA">
      <w:pPr>
        <w:rPr>
          <w:u w:val="none"/>
        </w:rPr>
      </w:pPr>
      <w:r>
        <w:rPr>
          <w:noProof/>
          <w:u w:val="none"/>
          <w:lang w:eastAsia="en-GB"/>
        </w:rPr>
        <w:drawing>
          <wp:inline distT="0" distB="0" distL="0" distR="0" wp14:anchorId="3457ABF7" wp14:editId="226CF66D">
            <wp:extent cx="2493645" cy="6464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FBFF1" w14:textId="77777777" w:rsidR="00D470FA" w:rsidRDefault="00D470FA" w:rsidP="00D470FA">
      <w:pPr>
        <w:rPr>
          <w:u w:val="none"/>
        </w:rPr>
      </w:pPr>
    </w:p>
    <w:p w14:paraId="5A435D63" w14:textId="59ACC245" w:rsidR="00D470FA" w:rsidRPr="009A5827" w:rsidRDefault="00D470FA" w:rsidP="00D470FA">
      <w:pPr>
        <w:jc w:val="center"/>
        <w:rPr>
          <w:b/>
        </w:rPr>
      </w:pPr>
      <w:r>
        <w:rPr>
          <w:b/>
        </w:rPr>
        <w:t>CONFLICTS OF INTEREST</w:t>
      </w:r>
      <w:r w:rsidRPr="009A5827">
        <w:rPr>
          <w:b/>
        </w:rPr>
        <w:t xml:space="preserve"> POLICY</w:t>
      </w:r>
    </w:p>
    <w:p w14:paraId="65627AD3" w14:textId="6B87326E" w:rsidR="00D470FA" w:rsidRDefault="00D470FA" w:rsidP="00D470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Policy a</w:t>
      </w:r>
      <w:r w:rsidRPr="007B27AC">
        <w:rPr>
          <w:rFonts w:ascii="Arial" w:hAnsi="Arial" w:cs="Arial"/>
          <w:b/>
        </w:rPr>
        <w:t xml:space="preserve">dopted </w:t>
      </w:r>
      <w:r>
        <w:rPr>
          <w:rFonts w:ascii="Arial" w:hAnsi="Arial" w:cs="Arial"/>
          <w:b/>
        </w:rPr>
        <w:t>March</w:t>
      </w:r>
      <w:r w:rsidRPr="007B27AC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21</w:t>
      </w:r>
    </w:p>
    <w:p w14:paraId="714507D1" w14:textId="6F2D9CB4" w:rsidR="00560E3A" w:rsidRDefault="00560E3A" w:rsidP="00D470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Revised August 2022</w:t>
      </w:r>
    </w:p>
    <w:p w14:paraId="5250FD19" w14:textId="69D74392" w:rsidR="00D470FA" w:rsidRPr="007B27AC" w:rsidRDefault="00D470FA" w:rsidP="00D470F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Next revision date </w:t>
      </w:r>
      <w:r w:rsidR="00560E3A">
        <w:rPr>
          <w:rFonts w:ascii="Arial" w:hAnsi="Arial" w:cs="Arial"/>
          <w:b/>
        </w:rPr>
        <w:t>August 2024</w:t>
      </w:r>
    </w:p>
    <w:p w14:paraId="080A87EB" w14:textId="595F054F" w:rsidR="00D470FA" w:rsidRDefault="00D470FA" w:rsidP="00D470FA">
      <w:pPr>
        <w:rPr>
          <w:u w:val="none"/>
        </w:rPr>
      </w:pPr>
    </w:p>
    <w:p w14:paraId="2D5B9FD0" w14:textId="77777777" w:rsidR="003B26ED" w:rsidRDefault="003B26ED" w:rsidP="00D470FA">
      <w:pPr>
        <w:rPr>
          <w:u w:val="none"/>
        </w:rPr>
      </w:pPr>
    </w:p>
    <w:p w14:paraId="170D0210" w14:textId="63A2C8BD" w:rsidR="00D470FA" w:rsidRDefault="00D470FA" w:rsidP="00D470FA">
      <w:pPr>
        <w:rPr>
          <w:b/>
          <w:u w:val="none"/>
        </w:rPr>
      </w:pPr>
      <w:r w:rsidRPr="009A6C2E">
        <w:rPr>
          <w:b/>
          <w:u w:val="none"/>
        </w:rPr>
        <w:t>1. Introduction</w:t>
      </w:r>
    </w:p>
    <w:p w14:paraId="76FBE4FB" w14:textId="0E1CC12A" w:rsidR="00D470FA" w:rsidRDefault="00D470FA" w:rsidP="00D470FA">
      <w:pPr>
        <w:rPr>
          <w:bCs/>
          <w:u w:val="none"/>
        </w:rPr>
      </w:pPr>
      <w:r>
        <w:rPr>
          <w:bCs/>
          <w:u w:val="none"/>
        </w:rPr>
        <w:t>NESWEC take</w:t>
      </w:r>
      <w:r w:rsidR="00041A4F">
        <w:rPr>
          <w:bCs/>
          <w:u w:val="none"/>
        </w:rPr>
        <w:t>s</w:t>
      </w:r>
      <w:r>
        <w:rPr>
          <w:bCs/>
          <w:u w:val="none"/>
        </w:rPr>
        <w:t xml:space="preserve"> into account the overview given by the Crossfields Institute Conflicts of Interest policy </w:t>
      </w:r>
      <w:r w:rsidR="00041A4F">
        <w:rPr>
          <w:bCs/>
          <w:u w:val="none"/>
        </w:rPr>
        <w:t>which</w:t>
      </w:r>
      <w:r>
        <w:rPr>
          <w:bCs/>
          <w:u w:val="none"/>
        </w:rPr>
        <w:t xml:space="preserve"> is included among those available on our website.  Our aim is that </w:t>
      </w:r>
      <w:r w:rsidR="00041A4F">
        <w:rPr>
          <w:bCs/>
          <w:u w:val="none"/>
        </w:rPr>
        <w:t>the integrity of NESWEC as a teacher education provider is protected</w:t>
      </w:r>
      <w:r w:rsidR="002A11C4">
        <w:rPr>
          <w:bCs/>
          <w:u w:val="none"/>
        </w:rPr>
        <w:t>,</w:t>
      </w:r>
      <w:r w:rsidR="00041A4F">
        <w:rPr>
          <w:bCs/>
          <w:u w:val="none"/>
        </w:rPr>
        <w:t xml:space="preserve"> that assessment remains rigorous and fair in all circumstances</w:t>
      </w:r>
      <w:r w:rsidR="00914659">
        <w:rPr>
          <w:bCs/>
          <w:u w:val="none"/>
        </w:rPr>
        <w:t>,</w:t>
      </w:r>
      <w:r w:rsidR="00041A4F">
        <w:rPr>
          <w:bCs/>
          <w:u w:val="none"/>
        </w:rPr>
        <w:t xml:space="preserve"> and that </w:t>
      </w:r>
      <w:r>
        <w:rPr>
          <w:bCs/>
          <w:u w:val="none"/>
        </w:rPr>
        <w:t>no student is adversely affected by factors arising from conflicts of interest</w:t>
      </w:r>
      <w:r w:rsidR="00041A4F">
        <w:rPr>
          <w:bCs/>
          <w:u w:val="none"/>
        </w:rPr>
        <w:t>.</w:t>
      </w:r>
    </w:p>
    <w:p w14:paraId="4AB69DD6" w14:textId="77777777" w:rsidR="00D470FA" w:rsidRPr="00D470FA" w:rsidRDefault="00D470FA" w:rsidP="00D470FA">
      <w:pPr>
        <w:rPr>
          <w:bCs/>
          <w:u w:val="none"/>
        </w:rPr>
      </w:pPr>
      <w:r w:rsidRPr="00D470FA">
        <w:rPr>
          <w:bCs/>
          <w:u w:val="none"/>
        </w:rPr>
        <w:t>This policy:</w:t>
      </w:r>
    </w:p>
    <w:p w14:paraId="7898E9C6" w14:textId="681C0A60" w:rsidR="00041A4F" w:rsidRPr="00041A4F" w:rsidRDefault="00D470FA" w:rsidP="00041A4F">
      <w:pPr>
        <w:pStyle w:val="ListParagraph"/>
        <w:numPr>
          <w:ilvl w:val="0"/>
          <w:numId w:val="4"/>
        </w:numPr>
        <w:rPr>
          <w:bCs/>
          <w:u w:val="none"/>
        </w:rPr>
      </w:pPr>
      <w:r w:rsidRPr="00041A4F">
        <w:rPr>
          <w:bCs/>
          <w:u w:val="none"/>
        </w:rPr>
        <w:t>provides a definition of conflict of interest</w:t>
      </w:r>
      <w:r w:rsidR="00041A4F" w:rsidRPr="00041A4F">
        <w:rPr>
          <w:bCs/>
          <w:u w:val="none"/>
        </w:rPr>
        <w:t xml:space="preserve"> and </w:t>
      </w:r>
      <w:r w:rsidR="00041A4F">
        <w:rPr>
          <w:bCs/>
          <w:u w:val="none"/>
        </w:rPr>
        <w:t xml:space="preserve">some </w:t>
      </w:r>
      <w:r w:rsidR="00041A4F" w:rsidRPr="00041A4F">
        <w:rPr>
          <w:bCs/>
          <w:u w:val="none"/>
        </w:rPr>
        <w:t>relevant examples</w:t>
      </w:r>
    </w:p>
    <w:p w14:paraId="44CEA7B0" w14:textId="0F69BE86" w:rsidR="00D470FA" w:rsidRPr="00041A4F" w:rsidRDefault="00D470FA" w:rsidP="00041A4F">
      <w:pPr>
        <w:pStyle w:val="ListParagraph"/>
        <w:numPr>
          <w:ilvl w:val="0"/>
          <w:numId w:val="4"/>
        </w:numPr>
        <w:rPr>
          <w:bCs/>
          <w:u w:val="none"/>
        </w:rPr>
      </w:pPr>
      <w:r w:rsidRPr="00041A4F">
        <w:rPr>
          <w:bCs/>
          <w:u w:val="none"/>
        </w:rPr>
        <w:t xml:space="preserve">provides </w:t>
      </w:r>
      <w:r w:rsidR="00041A4F">
        <w:rPr>
          <w:bCs/>
          <w:u w:val="none"/>
        </w:rPr>
        <w:t>NESWEC</w:t>
      </w:r>
      <w:r w:rsidRPr="00041A4F">
        <w:rPr>
          <w:bCs/>
          <w:u w:val="none"/>
        </w:rPr>
        <w:t>’s principles underpinning the management of conflict of interest</w:t>
      </w:r>
    </w:p>
    <w:p w14:paraId="4703D198" w14:textId="5CBD9990" w:rsidR="00D470FA" w:rsidRPr="00041A4F" w:rsidRDefault="00D470FA" w:rsidP="00041A4F">
      <w:pPr>
        <w:pStyle w:val="ListParagraph"/>
        <w:numPr>
          <w:ilvl w:val="0"/>
          <w:numId w:val="4"/>
        </w:numPr>
        <w:rPr>
          <w:bCs/>
          <w:u w:val="none"/>
        </w:rPr>
      </w:pPr>
      <w:r w:rsidRPr="00041A4F">
        <w:rPr>
          <w:bCs/>
          <w:u w:val="none"/>
        </w:rPr>
        <w:t>sets out the responsibilities for managing conflict of interest</w:t>
      </w:r>
    </w:p>
    <w:p w14:paraId="788C9912" w14:textId="77719A14" w:rsidR="00D470FA" w:rsidRPr="00041A4F" w:rsidRDefault="00D470FA" w:rsidP="00041A4F">
      <w:pPr>
        <w:pStyle w:val="ListParagraph"/>
        <w:numPr>
          <w:ilvl w:val="0"/>
          <w:numId w:val="4"/>
        </w:numPr>
        <w:rPr>
          <w:bCs/>
          <w:u w:val="none"/>
        </w:rPr>
      </w:pPr>
      <w:r w:rsidRPr="00041A4F">
        <w:rPr>
          <w:bCs/>
          <w:u w:val="none"/>
        </w:rPr>
        <w:t>outlines the procedures to mitigate potential conflicts of interest</w:t>
      </w:r>
    </w:p>
    <w:p w14:paraId="50F1A1E3" w14:textId="4BF8502C" w:rsidR="00D470FA" w:rsidRPr="00041A4F" w:rsidRDefault="00D470FA" w:rsidP="00D470FA">
      <w:pPr>
        <w:pStyle w:val="ListParagraph"/>
        <w:numPr>
          <w:ilvl w:val="0"/>
          <w:numId w:val="4"/>
        </w:numPr>
        <w:rPr>
          <w:bCs/>
          <w:u w:val="none"/>
        </w:rPr>
      </w:pPr>
      <w:r w:rsidRPr="00041A4F">
        <w:rPr>
          <w:bCs/>
          <w:u w:val="none"/>
        </w:rPr>
        <w:t>describes the action(s) which will be taken if the policy is breached</w:t>
      </w:r>
      <w:r w:rsidRPr="00041A4F">
        <w:rPr>
          <w:bCs/>
          <w:u w:val="none"/>
        </w:rPr>
        <w:cr/>
      </w:r>
    </w:p>
    <w:p w14:paraId="10288C18" w14:textId="30CD28EA" w:rsidR="00041A4F" w:rsidRDefault="00041A4F" w:rsidP="00041A4F">
      <w:pPr>
        <w:rPr>
          <w:b/>
          <w:u w:val="none"/>
        </w:rPr>
      </w:pPr>
      <w:r w:rsidRPr="00041A4F">
        <w:rPr>
          <w:b/>
          <w:u w:val="none"/>
        </w:rPr>
        <w:t>Definition of conflicts of interest</w:t>
      </w:r>
      <w:r>
        <w:rPr>
          <w:b/>
          <w:u w:val="none"/>
        </w:rPr>
        <w:t>:</w:t>
      </w:r>
    </w:p>
    <w:p w14:paraId="705A7445" w14:textId="4BD5B277" w:rsidR="00041A4F" w:rsidRPr="00041A4F" w:rsidRDefault="00041A4F" w:rsidP="00041A4F">
      <w:pPr>
        <w:rPr>
          <w:u w:val="none"/>
        </w:rPr>
      </w:pPr>
      <w:r w:rsidRPr="00041A4F">
        <w:rPr>
          <w:u w:val="none"/>
        </w:rPr>
        <w:t>A conflict of interest exists in relation to NESWEC where:</w:t>
      </w:r>
    </w:p>
    <w:p w14:paraId="337B8452" w14:textId="03502FC7" w:rsidR="00041A4F" w:rsidRDefault="00041A4F" w:rsidP="00041A4F">
      <w:pPr>
        <w:pStyle w:val="ListParagraph"/>
        <w:numPr>
          <w:ilvl w:val="0"/>
          <w:numId w:val="5"/>
        </w:numPr>
        <w:rPr>
          <w:bCs/>
          <w:u w:val="none"/>
        </w:rPr>
      </w:pPr>
      <w:r w:rsidRPr="00041A4F">
        <w:rPr>
          <w:bCs/>
          <w:u w:val="none"/>
        </w:rPr>
        <w:t>Its interests in any activity undertaken by it, on its behalf, have the potential to lead it to act contrary to its interests in the delivery of qualifications</w:t>
      </w:r>
      <w:r>
        <w:rPr>
          <w:bCs/>
          <w:u w:val="none"/>
        </w:rPr>
        <w:t>.</w:t>
      </w:r>
    </w:p>
    <w:p w14:paraId="705CBFDE" w14:textId="7913AFE7" w:rsidR="00041A4F" w:rsidRDefault="00041A4F" w:rsidP="00041A4F">
      <w:pPr>
        <w:pStyle w:val="ListParagraph"/>
        <w:numPr>
          <w:ilvl w:val="0"/>
          <w:numId w:val="5"/>
        </w:numPr>
        <w:rPr>
          <w:bCs/>
          <w:u w:val="none"/>
        </w:rPr>
      </w:pPr>
      <w:r>
        <w:rPr>
          <w:bCs/>
          <w:u w:val="none"/>
        </w:rPr>
        <w:t>A</w:t>
      </w:r>
      <w:r w:rsidRPr="00041A4F">
        <w:rPr>
          <w:bCs/>
          <w:u w:val="none"/>
        </w:rPr>
        <w:t xml:space="preserve"> person who is connected to the delivery of qualifications </w:t>
      </w:r>
      <w:r>
        <w:rPr>
          <w:bCs/>
          <w:u w:val="none"/>
        </w:rPr>
        <w:t>through NESWEC</w:t>
      </w:r>
      <w:r w:rsidRPr="00041A4F">
        <w:rPr>
          <w:bCs/>
          <w:u w:val="none"/>
        </w:rPr>
        <w:t xml:space="preserve"> has interests in any other activity which have the potential to lead that person to act contrary to </w:t>
      </w:r>
      <w:r>
        <w:rPr>
          <w:bCs/>
          <w:u w:val="none"/>
        </w:rPr>
        <w:t>NESWEC’s</w:t>
      </w:r>
      <w:r w:rsidRPr="00041A4F">
        <w:rPr>
          <w:bCs/>
          <w:u w:val="none"/>
        </w:rPr>
        <w:t xml:space="preserve"> interests in the delivery </w:t>
      </w:r>
      <w:r>
        <w:rPr>
          <w:bCs/>
          <w:u w:val="none"/>
        </w:rPr>
        <w:t xml:space="preserve">of </w:t>
      </w:r>
      <w:r w:rsidRPr="00041A4F">
        <w:rPr>
          <w:bCs/>
          <w:u w:val="none"/>
        </w:rPr>
        <w:t>qualifications</w:t>
      </w:r>
      <w:r>
        <w:rPr>
          <w:bCs/>
          <w:u w:val="none"/>
        </w:rPr>
        <w:t>.</w:t>
      </w:r>
    </w:p>
    <w:p w14:paraId="49A773BF" w14:textId="56C88E35" w:rsidR="00041A4F" w:rsidRDefault="00041A4F" w:rsidP="00041A4F">
      <w:pPr>
        <w:pStyle w:val="ListParagraph"/>
        <w:numPr>
          <w:ilvl w:val="0"/>
          <w:numId w:val="5"/>
        </w:numPr>
        <w:rPr>
          <w:bCs/>
          <w:u w:val="none"/>
        </w:rPr>
      </w:pPr>
      <w:r>
        <w:rPr>
          <w:bCs/>
          <w:u w:val="none"/>
        </w:rPr>
        <w:t>A</w:t>
      </w:r>
      <w:r w:rsidRPr="00041A4F">
        <w:rPr>
          <w:bCs/>
          <w:u w:val="none"/>
        </w:rPr>
        <w:t>n informed and reasonable observer would conclude that either of these situations was the case.</w:t>
      </w:r>
    </w:p>
    <w:p w14:paraId="67046F1A" w14:textId="0B98A520" w:rsidR="008D25A3" w:rsidRDefault="007E365A" w:rsidP="008D25A3">
      <w:pPr>
        <w:rPr>
          <w:bCs/>
          <w:u w:val="none"/>
        </w:rPr>
      </w:pPr>
      <w:r>
        <w:rPr>
          <w:bCs/>
          <w:u w:val="none"/>
        </w:rPr>
        <w:t>Examples might be:</w:t>
      </w:r>
    </w:p>
    <w:p w14:paraId="7A037531" w14:textId="434E8702" w:rsidR="007E365A" w:rsidRPr="0058706F" w:rsidRDefault="007E365A" w:rsidP="0058706F">
      <w:pPr>
        <w:pStyle w:val="ListParagraph"/>
        <w:numPr>
          <w:ilvl w:val="0"/>
          <w:numId w:val="7"/>
        </w:numPr>
        <w:rPr>
          <w:bCs/>
          <w:u w:val="none"/>
        </w:rPr>
      </w:pPr>
      <w:r w:rsidRPr="0058706F">
        <w:rPr>
          <w:bCs/>
          <w:u w:val="none"/>
        </w:rPr>
        <w:t>A tutor/assessor is a member of staff, a</w:t>
      </w:r>
      <w:r w:rsidR="00EA77A4" w:rsidRPr="0058706F">
        <w:rPr>
          <w:bCs/>
          <w:u w:val="none"/>
        </w:rPr>
        <w:t xml:space="preserve"> trustee or a mentor at a school or setting where a student is employed or regularly volunteering in order to achieve their placement requirement.</w:t>
      </w:r>
    </w:p>
    <w:p w14:paraId="369E425A" w14:textId="07AFA8FA" w:rsidR="00B17787" w:rsidRDefault="00B17787" w:rsidP="0058706F">
      <w:pPr>
        <w:pStyle w:val="ListParagraph"/>
        <w:numPr>
          <w:ilvl w:val="0"/>
          <w:numId w:val="7"/>
        </w:numPr>
        <w:rPr>
          <w:bCs/>
          <w:u w:val="none"/>
        </w:rPr>
      </w:pPr>
      <w:r w:rsidRPr="0058706F">
        <w:rPr>
          <w:bCs/>
          <w:u w:val="none"/>
        </w:rPr>
        <w:t xml:space="preserve">A tutor/assessor </w:t>
      </w:r>
      <w:r w:rsidR="0058706F" w:rsidRPr="0058706F">
        <w:rPr>
          <w:bCs/>
          <w:u w:val="none"/>
        </w:rPr>
        <w:t>and a student are part of the same family</w:t>
      </w:r>
      <w:r w:rsidR="009C6580">
        <w:rPr>
          <w:bCs/>
          <w:u w:val="none"/>
        </w:rPr>
        <w:t>.</w:t>
      </w:r>
      <w:r w:rsidR="0058706F" w:rsidRPr="0058706F">
        <w:rPr>
          <w:bCs/>
          <w:u w:val="none"/>
        </w:rPr>
        <w:t xml:space="preserve"> </w:t>
      </w:r>
    </w:p>
    <w:p w14:paraId="0C35D16B" w14:textId="77777777" w:rsidR="009C6580" w:rsidRPr="0058706F" w:rsidRDefault="009C6580" w:rsidP="009C6580">
      <w:pPr>
        <w:pStyle w:val="ListParagraph"/>
        <w:ind w:left="360"/>
        <w:rPr>
          <w:bCs/>
          <w:u w:val="none"/>
        </w:rPr>
      </w:pPr>
    </w:p>
    <w:p w14:paraId="0C09A3C6" w14:textId="79A25D84" w:rsidR="005E429E" w:rsidRPr="005E429E" w:rsidRDefault="005E429E" w:rsidP="005E429E">
      <w:pPr>
        <w:rPr>
          <w:b/>
          <w:u w:val="none"/>
        </w:rPr>
      </w:pPr>
      <w:r w:rsidRPr="005E429E">
        <w:rPr>
          <w:b/>
          <w:u w:val="none"/>
        </w:rPr>
        <w:t>Principle underpinning the management of conflicts of interest:</w:t>
      </w:r>
    </w:p>
    <w:p w14:paraId="64EA7A13" w14:textId="65742C60" w:rsidR="005E429E" w:rsidRPr="005E429E" w:rsidRDefault="005E429E" w:rsidP="005E429E">
      <w:pPr>
        <w:rPr>
          <w:bCs/>
          <w:u w:val="none"/>
        </w:rPr>
      </w:pPr>
      <w:r>
        <w:rPr>
          <w:bCs/>
          <w:u w:val="none"/>
        </w:rPr>
        <w:t>NESWEC tutors and assessors adopt the general principles provided</w:t>
      </w:r>
      <w:r w:rsidR="009E4452">
        <w:rPr>
          <w:bCs/>
          <w:u w:val="none"/>
        </w:rPr>
        <w:t xml:space="preserve"> in</w:t>
      </w:r>
      <w:r>
        <w:rPr>
          <w:bCs/>
          <w:u w:val="none"/>
        </w:rPr>
        <w:t xml:space="preserve"> the Crossfields Institute Conflicts of Interest policy for identifying and managing potential and actual conflicts of interest.</w:t>
      </w:r>
    </w:p>
    <w:p w14:paraId="27AE00BC" w14:textId="77777777" w:rsidR="003B26ED" w:rsidRDefault="003B26ED" w:rsidP="005E429E">
      <w:pPr>
        <w:rPr>
          <w:b/>
          <w:u w:val="none"/>
        </w:rPr>
      </w:pPr>
    </w:p>
    <w:p w14:paraId="6177B196" w14:textId="192125A6" w:rsidR="005E429E" w:rsidRDefault="005E429E" w:rsidP="005E429E">
      <w:pPr>
        <w:rPr>
          <w:b/>
          <w:u w:val="none"/>
        </w:rPr>
      </w:pPr>
      <w:r w:rsidRPr="005E429E">
        <w:rPr>
          <w:b/>
          <w:u w:val="none"/>
        </w:rPr>
        <w:t>Responsibilities for managing conflict of interest</w:t>
      </w:r>
      <w:r>
        <w:rPr>
          <w:b/>
          <w:u w:val="none"/>
        </w:rPr>
        <w:t>:</w:t>
      </w:r>
    </w:p>
    <w:p w14:paraId="08C4C2A6" w14:textId="5AAA1C3A" w:rsidR="005E429E" w:rsidRDefault="005E429E" w:rsidP="005E429E">
      <w:pPr>
        <w:rPr>
          <w:bCs/>
          <w:u w:val="none"/>
        </w:rPr>
      </w:pPr>
      <w:r>
        <w:rPr>
          <w:bCs/>
          <w:u w:val="none"/>
        </w:rPr>
        <w:t xml:space="preserve">The Course Coordinator is the Responsible Person to whom questions relating perceived potential or actual conflicts of interest should be brought. </w:t>
      </w:r>
      <w:r w:rsidR="00112BFF">
        <w:rPr>
          <w:bCs/>
          <w:u w:val="none"/>
        </w:rPr>
        <w:t xml:space="preserve">  The Responsible Person can be contacted via email: </w:t>
      </w:r>
      <w:hyperlink r:id="rId8" w:history="1">
        <w:r w:rsidR="00112BFF" w:rsidRPr="00474D96">
          <w:rPr>
            <w:rStyle w:val="Hyperlink"/>
            <w:bCs/>
          </w:rPr>
          <w:t>jill@neswec.org.uk</w:t>
        </w:r>
      </w:hyperlink>
      <w:r w:rsidR="00112BFF">
        <w:rPr>
          <w:bCs/>
          <w:u w:val="none"/>
        </w:rPr>
        <w:t xml:space="preserve"> or by phone: 01782 504567</w:t>
      </w:r>
    </w:p>
    <w:p w14:paraId="6F0D7456" w14:textId="1240A430" w:rsidR="005E429E" w:rsidRDefault="005E429E" w:rsidP="005E429E">
      <w:pPr>
        <w:rPr>
          <w:bCs/>
          <w:u w:val="none"/>
        </w:rPr>
      </w:pPr>
      <w:r>
        <w:rPr>
          <w:bCs/>
          <w:u w:val="none"/>
        </w:rPr>
        <w:t xml:space="preserve">If anyone feels </w:t>
      </w:r>
      <w:r w:rsidRPr="005E429E">
        <w:rPr>
          <w:bCs/>
          <w:u w:val="none"/>
        </w:rPr>
        <w:t xml:space="preserve">there has been an actual conflict of interest involving </w:t>
      </w:r>
      <w:r>
        <w:rPr>
          <w:bCs/>
          <w:u w:val="none"/>
        </w:rPr>
        <w:t>NE</w:t>
      </w:r>
      <w:r w:rsidR="00F66779">
        <w:rPr>
          <w:bCs/>
          <w:u w:val="none"/>
        </w:rPr>
        <w:t>S</w:t>
      </w:r>
      <w:r>
        <w:rPr>
          <w:bCs/>
          <w:u w:val="none"/>
        </w:rPr>
        <w:t>WEC</w:t>
      </w:r>
      <w:r w:rsidRPr="005E429E">
        <w:rPr>
          <w:bCs/>
          <w:u w:val="none"/>
        </w:rPr>
        <w:t xml:space="preserve"> then they should raise the matter with the Responsible Officer who will begin an investigation, unless they have an involvement/interest in the allegation, in which case it will be passed to another senior member of </w:t>
      </w:r>
      <w:r>
        <w:rPr>
          <w:bCs/>
          <w:u w:val="none"/>
        </w:rPr>
        <w:t xml:space="preserve">the NESWEC team </w:t>
      </w:r>
      <w:r w:rsidRPr="005E429E">
        <w:rPr>
          <w:bCs/>
          <w:u w:val="none"/>
        </w:rPr>
        <w:t xml:space="preserve">(or, if required, an external party will be appointed to carry out the review).  </w:t>
      </w:r>
    </w:p>
    <w:p w14:paraId="120F0D65" w14:textId="4E8406B0" w:rsidR="005E429E" w:rsidRPr="005E429E" w:rsidRDefault="005E429E" w:rsidP="005E429E">
      <w:pPr>
        <w:rPr>
          <w:bCs/>
          <w:u w:val="none"/>
        </w:rPr>
      </w:pPr>
      <w:r w:rsidRPr="005E429E">
        <w:rPr>
          <w:bCs/>
          <w:u w:val="none"/>
        </w:rPr>
        <w:t>If the breach is also classified as an Adverse Effect then the Responsible Officer must promptly inform</w:t>
      </w:r>
      <w:r>
        <w:rPr>
          <w:bCs/>
          <w:u w:val="none"/>
        </w:rPr>
        <w:t xml:space="preserve"> the appropriate person at Crossfields Institute.  S</w:t>
      </w:r>
      <w:r w:rsidRPr="005E429E">
        <w:rPr>
          <w:bCs/>
          <w:u w:val="none"/>
        </w:rPr>
        <w:t xml:space="preserve">he will inform </w:t>
      </w:r>
      <w:r>
        <w:rPr>
          <w:bCs/>
          <w:u w:val="none"/>
        </w:rPr>
        <w:t xml:space="preserve">Crossfields Institute </w:t>
      </w:r>
      <w:r w:rsidRPr="005E429E">
        <w:rPr>
          <w:bCs/>
          <w:u w:val="none"/>
        </w:rPr>
        <w:t xml:space="preserve">of the reasonable steps that </w:t>
      </w:r>
      <w:r>
        <w:rPr>
          <w:bCs/>
          <w:u w:val="none"/>
        </w:rPr>
        <w:t>NESWEC has</w:t>
      </w:r>
      <w:r w:rsidRPr="005E429E">
        <w:rPr>
          <w:bCs/>
          <w:u w:val="none"/>
        </w:rPr>
        <w:t xml:space="preserve"> taken or intend to take to prevent, correct or mitigate the Adverse Effect.  </w:t>
      </w:r>
    </w:p>
    <w:p w14:paraId="164F546A" w14:textId="19108916" w:rsidR="005E429E" w:rsidRPr="005E429E" w:rsidRDefault="005E429E" w:rsidP="005E429E">
      <w:pPr>
        <w:rPr>
          <w:bCs/>
          <w:u w:val="none"/>
        </w:rPr>
      </w:pPr>
      <w:r w:rsidRPr="005E429E">
        <w:rPr>
          <w:bCs/>
          <w:u w:val="none"/>
        </w:rPr>
        <w:t>An act, omission, event, incident, or circumstance has an Adverse Effect if it –</w:t>
      </w:r>
    </w:p>
    <w:p w14:paraId="7C6613FC" w14:textId="578D41B5" w:rsidR="005E429E" w:rsidRPr="00112BFF" w:rsidRDefault="005E429E" w:rsidP="00112BFF">
      <w:pPr>
        <w:pStyle w:val="ListParagraph"/>
        <w:numPr>
          <w:ilvl w:val="0"/>
          <w:numId w:val="6"/>
        </w:numPr>
        <w:rPr>
          <w:bCs/>
          <w:u w:val="none"/>
        </w:rPr>
      </w:pPr>
      <w:r w:rsidRPr="00112BFF">
        <w:rPr>
          <w:bCs/>
          <w:u w:val="none"/>
        </w:rPr>
        <w:t xml:space="preserve">gives rise to prejudice to </w:t>
      </w:r>
      <w:r w:rsidR="006D3226">
        <w:rPr>
          <w:bCs/>
          <w:u w:val="none"/>
        </w:rPr>
        <w:t>student</w:t>
      </w:r>
      <w:r w:rsidRPr="00112BFF">
        <w:rPr>
          <w:bCs/>
          <w:u w:val="none"/>
        </w:rPr>
        <w:t xml:space="preserve">s or potential </w:t>
      </w:r>
      <w:r w:rsidR="006D3226">
        <w:rPr>
          <w:bCs/>
          <w:u w:val="none"/>
        </w:rPr>
        <w:t>student</w:t>
      </w:r>
      <w:r w:rsidRPr="00112BFF">
        <w:rPr>
          <w:bCs/>
          <w:u w:val="none"/>
        </w:rPr>
        <w:t>s, or</w:t>
      </w:r>
    </w:p>
    <w:p w14:paraId="3C30E8A1" w14:textId="2EBEBF66" w:rsidR="005E429E" w:rsidRDefault="005E429E" w:rsidP="00112BFF">
      <w:pPr>
        <w:pStyle w:val="ListParagraph"/>
        <w:numPr>
          <w:ilvl w:val="0"/>
          <w:numId w:val="6"/>
        </w:numPr>
        <w:rPr>
          <w:bCs/>
          <w:u w:val="none"/>
        </w:rPr>
      </w:pPr>
      <w:r w:rsidRPr="00112BFF">
        <w:rPr>
          <w:bCs/>
          <w:u w:val="none"/>
        </w:rPr>
        <w:t xml:space="preserve">adversely affects the ability of </w:t>
      </w:r>
      <w:r w:rsidR="00112BFF" w:rsidRPr="00112BFF">
        <w:rPr>
          <w:bCs/>
          <w:u w:val="none"/>
        </w:rPr>
        <w:t>NESWEC</w:t>
      </w:r>
      <w:r w:rsidRPr="00112BFF">
        <w:rPr>
          <w:bCs/>
          <w:u w:val="none"/>
        </w:rPr>
        <w:t xml:space="preserve"> to undertake the delivery of qualifications</w:t>
      </w:r>
      <w:r w:rsidR="00193BD6">
        <w:rPr>
          <w:bCs/>
          <w:u w:val="none"/>
        </w:rPr>
        <w:t>.</w:t>
      </w:r>
      <w:r w:rsidRPr="00112BFF">
        <w:rPr>
          <w:bCs/>
          <w:u w:val="none"/>
        </w:rPr>
        <w:t xml:space="preserve"> </w:t>
      </w:r>
    </w:p>
    <w:p w14:paraId="05765A6C" w14:textId="77777777" w:rsidR="005B44DA" w:rsidRDefault="005B44DA" w:rsidP="005B44DA">
      <w:pPr>
        <w:rPr>
          <w:bCs/>
          <w:u w:val="none"/>
        </w:rPr>
      </w:pPr>
    </w:p>
    <w:p w14:paraId="247FD4B8" w14:textId="48EEE500" w:rsidR="005B44DA" w:rsidRDefault="005B44DA" w:rsidP="005B44DA">
      <w:pPr>
        <w:rPr>
          <w:b/>
          <w:u w:val="none"/>
        </w:rPr>
      </w:pPr>
      <w:r w:rsidRPr="005B44DA">
        <w:rPr>
          <w:b/>
          <w:u w:val="none"/>
        </w:rPr>
        <w:t>Procedures to mitigate potential conflicts of interest</w:t>
      </w:r>
      <w:r>
        <w:rPr>
          <w:b/>
          <w:u w:val="none"/>
        </w:rPr>
        <w:t>:</w:t>
      </w:r>
    </w:p>
    <w:p w14:paraId="00D8E441" w14:textId="3C25BED7" w:rsidR="00541D14" w:rsidRDefault="00541D14" w:rsidP="0081263D">
      <w:pPr>
        <w:pStyle w:val="ListParagraph"/>
        <w:numPr>
          <w:ilvl w:val="0"/>
          <w:numId w:val="8"/>
        </w:numPr>
        <w:rPr>
          <w:bCs/>
          <w:u w:val="none"/>
        </w:rPr>
      </w:pPr>
      <w:r>
        <w:rPr>
          <w:bCs/>
          <w:u w:val="none"/>
        </w:rPr>
        <w:t xml:space="preserve">NESWEC course assessment is never in the hands of only one tutor/assessor.  </w:t>
      </w:r>
      <w:r w:rsidR="00B35C67">
        <w:rPr>
          <w:bCs/>
          <w:u w:val="none"/>
        </w:rPr>
        <w:t xml:space="preserve">All Core tutor/assessors have assessment responsibilities </w:t>
      </w:r>
      <w:r w:rsidR="00D50A1A">
        <w:rPr>
          <w:bCs/>
          <w:u w:val="none"/>
        </w:rPr>
        <w:t xml:space="preserve">in different areas of the NESWEC programme and all are part of </w:t>
      </w:r>
      <w:r w:rsidR="0090227F">
        <w:rPr>
          <w:bCs/>
          <w:u w:val="none"/>
        </w:rPr>
        <w:t>robust IQA and EQA arrangements.</w:t>
      </w:r>
    </w:p>
    <w:p w14:paraId="0FD3F9C2" w14:textId="0F170BE2" w:rsidR="005B44DA" w:rsidRDefault="00ED36AD" w:rsidP="0081263D">
      <w:pPr>
        <w:pStyle w:val="ListParagraph"/>
        <w:numPr>
          <w:ilvl w:val="0"/>
          <w:numId w:val="8"/>
        </w:numPr>
        <w:rPr>
          <w:bCs/>
          <w:u w:val="none"/>
        </w:rPr>
      </w:pPr>
      <w:r w:rsidRPr="0081263D">
        <w:rPr>
          <w:bCs/>
          <w:u w:val="none"/>
        </w:rPr>
        <w:t>Tutor/assessors are asked to declare any potential conf</w:t>
      </w:r>
      <w:r w:rsidR="0081263D" w:rsidRPr="0081263D">
        <w:rPr>
          <w:bCs/>
          <w:u w:val="none"/>
        </w:rPr>
        <w:t>l</w:t>
      </w:r>
      <w:r w:rsidRPr="0081263D">
        <w:rPr>
          <w:bCs/>
          <w:u w:val="none"/>
        </w:rPr>
        <w:t xml:space="preserve">icts of interest as soon as </w:t>
      </w:r>
      <w:r w:rsidR="00074981" w:rsidRPr="0081263D">
        <w:rPr>
          <w:bCs/>
          <w:u w:val="none"/>
        </w:rPr>
        <w:t>they are envisage</w:t>
      </w:r>
      <w:r w:rsidR="0090227F">
        <w:rPr>
          <w:bCs/>
          <w:u w:val="none"/>
        </w:rPr>
        <w:t>d</w:t>
      </w:r>
      <w:r w:rsidR="00074981" w:rsidRPr="0081263D">
        <w:rPr>
          <w:bCs/>
          <w:u w:val="none"/>
        </w:rPr>
        <w:t>, for example, when a student enrols with whom the tutor/assessor already has a professio</w:t>
      </w:r>
      <w:r w:rsidR="0081263D" w:rsidRPr="0081263D">
        <w:rPr>
          <w:bCs/>
          <w:u w:val="none"/>
        </w:rPr>
        <w:t>nal or family relationship.</w:t>
      </w:r>
    </w:p>
    <w:p w14:paraId="33222A24" w14:textId="31E13FF7" w:rsidR="00D901A0" w:rsidRDefault="00D901A0" w:rsidP="0081263D">
      <w:pPr>
        <w:pStyle w:val="ListParagraph"/>
        <w:numPr>
          <w:ilvl w:val="0"/>
          <w:numId w:val="8"/>
        </w:numPr>
        <w:rPr>
          <w:bCs/>
          <w:u w:val="none"/>
        </w:rPr>
      </w:pPr>
      <w:r>
        <w:rPr>
          <w:bCs/>
          <w:u w:val="none"/>
        </w:rPr>
        <w:t xml:space="preserve">The Core Tutor team will then assess the situation and consider effective mitigations, such as </w:t>
      </w:r>
      <w:r w:rsidR="00AE2261">
        <w:rPr>
          <w:bCs/>
          <w:u w:val="none"/>
        </w:rPr>
        <w:t>reassigning assessor visits to placements</w:t>
      </w:r>
      <w:r w:rsidR="00541D14">
        <w:rPr>
          <w:bCs/>
          <w:u w:val="none"/>
        </w:rPr>
        <w:t>.</w:t>
      </w:r>
    </w:p>
    <w:p w14:paraId="1D5AD417" w14:textId="77777777" w:rsidR="00731EA6" w:rsidRDefault="00731EA6" w:rsidP="00E97EF0">
      <w:pPr>
        <w:rPr>
          <w:b/>
          <w:u w:val="none"/>
        </w:rPr>
      </w:pPr>
    </w:p>
    <w:p w14:paraId="295FA453" w14:textId="40872F60" w:rsidR="00E97EF0" w:rsidRDefault="00E97EF0" w:rsidP="00E97EF0">
      <w:pPr>
        <w:rPr>
          <w:b/>
          <w:u w:val="none"/>
        </w:rPr>
      </w:pPr>
      <w:r w:rsidRPr="00E97EF0">
        <w:rPr>
          <w:b/>
          <w:u w:val="none"/>
        </w:rPr>
        <w:t>Action(s) which will be taken if the policy is breached</w:t>
      </w:r>
      <w:r>
        <w:rPr>
          <w:b/>
          <w:u w:val="none"/>
        </w:rPr>
        <w:t>:</w:t>
      </w:r>
    </w:p>
    <w:p w14:paraId="1D1B808D" w14:textId="77F522B0" w:rsidR="00E97EF0" w:rsidRPr="002E0350" w:rsidRDefault="00D166B5" w:rsidP="002E0350">
      <w:pPr>
        <w:rPr>
          <w:bCs/>
          <w:u w:val="none"/>
        </w:rPr>
      </w:pPr>
      <w:r w:rsidRPr="002E0350">
        <w:rPr>
          <w:bCs/>
          <w:u w:val="none"/>
        </w:rPr>
        <w:t>T</w:t>
      </w:r>
      <w:r w:rsidR="00D94AFA" w:rsidRPr="002E0350">
        <w:rPr>
          <w:bCs/>
          <w:u w:val="none"/>
        </w:rPr>
        <w:t>he Course Coordinator</w:t>
      </w:r>
      <w:r w:rsidR="00431B82" w:rsidRPr="002E0350">
        <w:rPr>
          <w:bCs/>
          <w:u w:val="none"/>
        </w:rPr>
        <w:t>, as the Responsible Person,</w:t>
      </w:r>
      <w:r w:rsidR="00D94AFA" w:rsidRPr="002E0350">
        <w:rPr>
          <w:bCs/>
          <w:u w:val="none"/>
        </w:rPr>
        <w:t xml:space="preserve"> will</w:t>
      </w:r>
      <w:r w:rsidR="00E33E01" w:rsidRPr="002E0350">
        <w:rPr>
          <w:bCs/>
          <w:u w:val="none"/>
        </w:rPr>
        <w:t xml:space="preserve"> investigate the details of the breach and</w:t>
      </w:r>
      <w:r w:rsidR="00050508" w:rsidRPr="002E0350">
        <w:rPr>
          <w:bCs/>
          <w:u w:val="none"/>
        </w:rPr>
        <w:t xml:space="preserve"> inform the Core tutor/assessor team</w:t>
      </w:r>
      <w:r w:rsidR="00AD5058" w:rsidRPr="002E0350">
        <w:rPr>
          <w:bCs/>
          <w:u w:val="none"/>
        </w:rPr>
        <w:t xml:space="preserve">. </w:t>
      </w:r>
      <w:r w:rsidR="00FC0FBC" w:rsidRPr="002E0350">
        <w:rPr>
          <w:bCs/>
          <w:u w:val="none"/>
        </w:rPr>
        <w:t xml:space="preserve"> In addition, the Course Coordinator will inform Crossfield</w:t>
      </w:r>
      <w:r w:rsidR="00F66779">
        <w:rPr>
          <w:bCs/>
          <w:u w:val="none"/>
        </w:rPr>
        <w:t>s</w:t>
      </w:r>
      <w:r w:rsidR="00FC0FBC" w:rsidRPr="002E0350">
        <w:rPr>
          <w:bCs/>
          <w:u w:val="none"/>
        </w:rPr>
        <w:t xml:space="preserve"> Institute and take advice.  </w:t>
      </w:r>
      <w:r w:rsidR="00AD5058" w:rsidRPr="002E0350">
        <w:rPr>
          <w:bCs/>
          <w:u w:val="none"/>
        </w:rPr>
        <w:t>T</w:t>
      </w:r>
      <w:r w:rsidR="00050508" w:rsidRPr="002E0350">
        <w:rPr>
          <w:bCs/>
          <w:u w:val="none"/>
        </w:rPr>
        <w:t xml:space="preserve">he </w:t>
      </w:r>
      <w:r w:rsidR="004241FC" w:rsidRPr="002E0350">
        <w:rPr>
          <w:bCs/>
          <w:u w:val="none"/>
        </w:rPr>
        <w:t xml:space="preserve">Core tutor/assessor </w:t>
      </w:r>
      <w:r w:rsidR="00050508" w:rsidRPr="002E0350">
        <w:rPr>
          <w:bCs/>
          <w:u w:val="none"/>
        </w:rPr>
        <w:t>team will consult o</w:t>
      </w:r>
      <w:r w:rsidR="00E33E01" w:rsidRPr="002E0350">
        <w:rPr>
          <w:bCs/>
          <w:u w:val="none"/>
        </w:rPr>
        <w:t>n</w:t>
      </w:r>
      <w:r w:rsidR="00050508" w:rsidRPr="002E0350">
        <w:rPr>
          <w:bCs/>
          <w:u w:val="none"/>
        </w:rPr>
        <w:t xml:space="preserve"> </w:t>
      </w:r>
      <w:r w:rsidR="00AD5058" w:rsidRPr="002E0350">
        <w:rPr>
          <w:bCs/>
          <w:u w:val="none"/>
        </w:rPr>
        <w:t>what appropriate measures should follow</w:t>
      </w:r>
      <w:r w:rsidR="002576FA" w:rsidRPr="002E0350">
        <w:rPr>
          <w:bCs/>
          <w:u w:val="none"/>
        </w:rPr>
        <w:t xml:space="preserve"> in order to </w:t>
      </w:r>
      <w:r w:rsidR="00C504C8" w:rsidRPr="002E0350">
        <w:rPr>
          <w:bCs/>
          <w:u w:val="none"/>
        </w:rPr>
        <w:t>correct what has happened</w:t>
      </w:r>
      <w:r w:rsidR="00AD5058" w:rsidRPr="002E0350">
        <w:rPr>
          <w:bCs/>
          <w:u w:val="none"/>
        </w:rPr>
        <w:t>.</w:t>
      </w:r>
      <w:r w:rsidR="0039714D" w:rsidRPr="002E0350">
        <w:rPr>
          <w:bCs/>
          <w:u w:val="none"/>
        </w:rPr>
        <w:t xml:space="preserve">  </w:t>
      </w:r>
      <w:r w:rsidR="00C53FAA" w:rsidRPr="002E0350">
        <w:rPr>
          <w:bCs/>
          <w:u w:val="none"/>
        </w:rPr>
        <w:t>Any member of the team who has an involvement/interest in the breach will be excluded</w:t>
      </w:r>
      <w:r w:rsidR="00E327A2" w:rsidRPr="002E0350">
        <w:rPr>
          <w:bCs/>
          <w:u w:val="none"/>
        </w:rPr>
        <w:t xml:space="preserve"> from the </w:t>
      </w:r>
      <w:r w:rsidR="00F82606" w:rsidRPr="002E0350">
        <w:rPr>
          <w:bCs/>
          <w:u w:val="none"/>
        </w:rPr>
        <w:t>decision-making</w:t>
      </w:r>
      <w:r w:rsidR="00E327A2" w:rsidRPr="002E0350">
        <w:rPr>
          <w:bCs/>
          <w:u w:val="none"/>
        </w:rPr>
        <w:t xml:space="preserve"> processes.</w:t>
      </w:r>
      <w:r w:rsidR="00C53FAA" w:rsidRPr="002E0350">
        <w:rPr>
          <w:bCs/>
          <w:u w:val="none"/>
        </w:rPr>
        <w:t xml:space="preserve"> </w:t>
      </w:r>
      <w:r w:rsidR="00431B82" w:rsidRPr="002E0350">
        <w:rPr>
          <w:bCs/>
          <w:u w:val="none"/>
        </w:rPr>
        <w:t xml:space="preserve">If the Course Coordinator has an involvement/interest in the breach, it will be passed to another senior member of the NESWEC team (or, if required, an external party will be appointed to carry out the review).  </w:t>
      </w:r>
    </w:p>
    <w:p w14:paraId="4C0986A9" w14:textId="77777777" w:rsidR="005B44DA" w:rsidRPr="005B44DA" w:rsidRDefault="005B44DA" w:rsidP="005B44DA">
      <w:pPr>
        <w:rPr>
          <w:bCs/>
          <w:u w:val="none"/>
        </w:rPr>
      </w:pPr>
    </w:p>
    <w:p w14:paraId="0F8D21D5" w14:textId="77777777" w:rsidR="00D470FA" w:rsidRPr="009A5827" w:rsidRDefault="00D470FA" w:rsidP="00D470FA">
      <w:pPr>
        <w:rPr>
          <w:u w:val="none"/>
        </w:rPr>
      </w:pPr>
    </w:p>
    <w:p w14:paraId="05E42661" w14:textId="77777777" w:rsidR="00E66272" w:rsidRDefault="00E66272"/>
    <w:sectPr w:rsidR="00E66272" w:rsidSect="009A582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579E" w14:textId="77777777" w:rsidR="002959A6" w:rsidRDefault="002959A6" w:rsidP="002E0350">
      <w:pPr>
        <w:spacing w:after="0" w:line="240" w:lineRule="auto"/>
      </w:pPr>
      <w:r>
        <w:separator/>
      </w:r>
    </w:p>
  </w:endnote>
  <w:endnote w:type="continuationSeparator" w:id="0">
    <w:p w14:paraId="1F08C73A" w14:textId="77777777" w:rsidR="002959A6" w:rsidRDefault="002959A6" w:rsidP="002E0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4C04" w14:textId="77777777" w:rsidR="002959A6" w:rsidRDefault="002959A6" w:rsidP="002E0350">
      <w:pPr>
        <w:spacing w:after="0" w:line="240" w:lineRule="auto"/>
      </w:pPr>
      <w:r>
        <w:separator/>
      </w:r>
    </w:p>
  </w:footnote>
  <w:footnote w:type="continuationSeparator" w:id="0">
    <w:p w14:paraId="0E7E2FF6" w14:textId="77777777" w:rsidR="002959A6" w:rsidRDefault="002959A6" w:rsidP="002E0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2679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08FD80" w14:textId="1917C488" w:rsidR="002E0350" w:rsidRDefault="002E0350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8489D4" w14:textId="77777777" w:rsidR="00CA74D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2DE"/>
    <w:multiLevelType w:val="hybridMultilevel"/>
    <w:tmpl w:val="EEACDA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3221C"/>
    <w:multiLevelType w:val="hybridMultilevel"/>
    <w:tmpl w:val="81A2C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E6C31"/>
    <w:multiLevelType w:val="hybridMultilevel"/>
    <w:tmpl w:val="C538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FE1914"/>
    <w:multiLevelType w:val="hybridMultilevel"/>
    <w:tmpl w:val="8376E4C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CE0F33"/>
    <w:multiLevelType w:val="hybridMultilevel"/>
    <w:tmpl w:val="7096BE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F3FD3"/>
    <w:multiLevelType w:val="hybridMultilevel"/>
    <w:tmpl w:val="8646A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14E8C"/>
    <w:multiLevelType w:val="hybridMultilevel"/>
    <w:tmpl w:val="1F4E4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B42054"/>
    <w:multiLevelType w:val="hybridMultilevel"/>
    <w:tmpl w:val="C7BAA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063FD0"/>
    <w:multiLevelType w:val="hybridMultilevel"/>
    <w:tmpl w:val="BF0E0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2976454">
    <w:abstractNumId w:val="0"/>
  </w:num>
  <w:num w:numId="2" w16cid:durableId="337273641">
    <w:abstractNumId w:val="4"/>
  </w:num>
  <w:num w:numId="3" w16cid:durableId="1844587953">
    <w:abstractNumId w:val="3"/>
  </w:num>
  <w:num w:numId="4" w16cid:durableId="371000008">
    <w:abstractNumId w:val="7"/>
  </w:num>
  <w:num w:numId="5" w16cid:durableId="962153990">
    <w:abstractNumId w:val="8"/>
  </w:num>
  <w:num w:numId="6" w16cid:durableId="2031031065">
    <w:abstractNumId w:val="6"/>
  </w:num>
  <w:num w:numId="7" w16cid:durableId="947858547">
    <w:abstractNumId w:val="1"/>
  </w:num>
  <w:num w:numId="8" w16cid:durableId="1476213636">
    <w:abstractNumId w:val="5"/>
  </w:num>
  <w:num w:numId="9" w16cid:durableId="1930238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70FA"/>
    <w:rsid w:val="00041A4F"/>
    <w:rsid w:val="00050508"/>
    <w:rsid w:val="00074981"/>
    <w:rsid w:val="00112BFF"/>
    <w:rsid w:val="00193BD6"/>
    <w:rsid w:val="002576FA"/>
    <w:rsid w:val="002959A6"/>
    <w:rsid w:val="002A11C4"/>
    <w:rsid w:val="002C3F21"/>
    <w:rsid w:val="002C76B6"/>
    <w:rsid w:val="002E0350"/>
    <w:rsid w:val="0039714D"/>
    <w:rsid w:val="003A6561"/>
    <w:rsid w:val="003B26ED"/>
    <w:rsid w:val="003E6763"/>
    <w:rsid w:val="004241FC"/>
    <w:rsid w:val="00431B82"/>
    <w:rsid w:val="00541D14"/>
    <w:rsid w:val="00560E3A"/>
    <w:rsid w:val="0058706F"/>
    <w:rsid w:val="005B44DA"/>
    <w:rsid w:val="005E429E"/>
    <w:rsid w:val="00664131"/>
    <w:rsid w:val="006D3226"/>
    <w:rsid w:val="00731EA6"/>
    <w:rsid w:val="00791695"/>
    <w:rsid w:val="007E365A"/>
    <w:rsid w:val="0081263D"/>
    <w:rsid w:val="008829B8"/>
    <w:rsid w:val="008D25A3"/>
    <w:rsid w:val="0090227F"/>
    <w:rsid w:val="00914659"/>
    <w:rsid w:val="0092045D"/>
    <w:rsid w:val="009A2EE5"/>
    <w:rsid w:val="009C6580"/>
    <w:rsid w:val="009E4452"/>
    <w:rsid w:val="00A92222"/>
    <w:rsid w:val="00AD5058"/>
    <w:rsid w:val="00AE2261"/>
    <w:rsid w:val="00B17787"/>
    <w:rsid w:val="00B35C67"/>
    <w:rsid w:val="00C504C8"/>
    <w:rsid w:val="00C53FAA"/>
    <w:rsid w:val="00D166B5"/>
    <w:rsid w:val="00D470FA"/>
    <w:rsid w:val="00D50A1A"/>
    <w:rsid w:val="00D901A0"/>
    <w:rsid w:val="00D94AFA"/>
    <w:rsid w:val="00E327A2"/>
    <w:rsid w:val="00E33E01"/>
    <w:rsid w:val="00E66272"/>
    <w:rsid w:val="00E97EF0"/>
    <w:rsid w:val="00EA77A4"/>
    <w:rsid w:val="00ED36AD"/>
    <w:rsid w:val="00F66779"/>
    <w:rsid w:val="00F82606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63C5"/>
  <w15:chartTrackingRefBased/>
  <w15:docId w15:val="{112D0106-C59E-4018-B9C9-9228A48C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4"/>
        <w:sz w:val="24"/>
        <w:szCs w:val="24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70FA"/>
    <w:pPr>
      <w:spacing w:after="0" w:line="240" w:lineRule="auto"/>
    </w:pPr>
    <w:rPr>
      <w:rFonts w:ascii="Trebuchet MS" w:hAnsi="Trebuchet MS" w:cstheme="minorBidi"/>
      <w:kern w:val="0"/>
      <w:sz w:val="22"/>
      <w:szCs w:val="22"/>
      <w:u w:val="none"/>
    </w:rPr>
  </w:style>
  <w:style w:type="paragraph" w:styleId="ListParagraph">
    <w:name w:val="List Paragraph"/>
    <w:basedOn w:val="Normal"/>
    <w:uiPriority w:val="34"/>
    <w:qFormat/>
    <w:rsid w:val="00D4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0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0FA"/>
  </w:style>
  <w:style w:type="paragraph" w:styleId="Footer">
    <w:name w:val="footer"/>
    <w:basedOn w:val="Normal"/>
    <w:link w:val="FooterChar"/>
    <w:uiPriority w:val="99"/>
    <w:unhideWhenUsed/>
    <w:rsid w:val="00D47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0FA"/>
  </w:style>
  <w:style w:type="character" w:styleId="UnresolvedMention">
    <w:name w:val="Unresolved Mention"/>
    <w:basedOn w:val="DefaultParagraphFont"/>
    <w:uiPriority w:val="99"/>
    <w:semiHidden/>
    <w:unhideWhenUsed/>
    <w:rsid w:val="0011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@neswe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Taplin</dc:creator>
  <cp:keywords/>
  <dc:description/>
  <cp:lastModifiedBy>Jill Taplin</cp:lastModifiedBy>
  <cp:revision>49</cp:revision>
  <dcterms:created xsi:type="dcterms:W3CDTF">2021-02-24T13:56:00Z</dcterms:created>
  <dcterms:modified xsi:type="dcterms:W3CDTF">2022-09-15T19:28:00Z</dcterms:modified>
</cp:coreProperties>
</file>